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CDA" w:rsidRDefault="006E4CDA">
      <w:pPr>
        <w:spacing w:line="560" w:lineRule="exact"/>
        <w:rPr>
          <w:rFonts w:ascii="TimesNewRoman" w:eastAsia="华文中宋" w:hAnsi="TimesNewRoman" w:cs="TimesNewRoman"/>
          <w:b/>
          <w:color w:val="000000"/>
          <w:szCs w:val="32"/>
        </w:rPr>
      </w:pPr>
    </w:p>
    <w:p w:rsidR="006E4CDA" w:rsidRDefault="00B924A0">
      <w:pPr>
        <w:spacing w:line="560" w:lineRule="exact"/>
        <w:jc w:val="center"/>
        <w:rPr>
          <w:rFonts w:ascii="TimesNewRoman" w:eastAsia="华文中宋" w:hAnsi="TimesNewRoman" w:cs="TimesNewRoman"/>
          <w:b/>
          <w:color w:val="000000"/>
          <w:sz w:val="36"/>
          <w:szCs w:val="36"/>
        </w:rPr>
      </w:pPr>
      <w:r>
        <w:rPr>
          <w:rFonts w:ascii="TimesNewRoman" w:eastAsia="华文中宋" w:hAnsi="TimesNewRoman" w:cs="TimesNewRoman" w:hint="eastAsia"/>
          <w:b/>
          <w:color w:val="000000"/>
          <w:sz w:val="36"/>
          <w:szCs w:val="36"/>
        </w:rPr>
        <w:t>淮南第</w:t>
      </w:r>
      <w:r w:rsidR="00FD06A0">
        <w:rPr>
          <w:rFonts w:ascii="TimesNewRoman" w:eastAsia="华文中宋" w:hAnsi="TimesNewRoman" w:cs="TimesNewRoman" w:hint="eastAsia"/>
          <w:b/>
          <w:color w:val="000000"/>
          <w:sz w:val="36"/>
          <w:szCs w:val="36"/>
        </w:rPr>
        <w:t>四</w:t>
      </w:r>
      <w:r>
        <w:rPr>
          <w:rFonts w:ascii="TimesNewRoman" w:eastAsia="华文中宋" w:hAnsi="TimesNewRoman" w:cs="TimesNewRoman" w:hint="eastAsia"/>
          <w:b/>
          <w:color w:val="000000"/>
          <w:sz w:val="36"/>
          <w:szCs w:val="36"/>
        </w:rPr>
        <w:t>中学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2024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年一般公共预算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“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三公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”</w:t>
      </w:r>
      <w:r>
        <w:rPr>
          <w:rFonts w:ascii="TimesNewRoman" w:eastAsia="华文中宋" w:hAnsi="TimesNewRoman" w:cs="TimesNewRoman"/>
          <w:b/>
          <w:color w:val="000000"/>
          <w:sz w:val="36"/>
          <w:szCs w:val="36"/>
        </w:rPr>
        <w:t>经费预算</w:t>
      </w:r>
    </w:p>
    <w:p w:rsidR="006E4CDA" w:rsidRDefault="006E4CDA">
      <w:pPr>
        <w:spacing w:line="560" w:lineRule="exact"/>
        <w:rPr>
          <w:rFonts w:ascii="TimesNewRoman" w:hAnsi="TimesNewRoman" w:cs="TimesNewRoman"/>
          <w:color w:val="000000"/>
          <w:sz w:val="6"/>
          <w:szCs w:val="32"/>
        </w:rPr>
      </w:pPr>
    </w:p>
    <w:p w:rsidR="006E4CDA" w:rsidRDefault="00B924A0">
      <w:pPr>
        <w:spacing w:line="560" w:lineRule="exact"/>
        <w:ind w:firstLineChars="200" w:firstLine="640"/>
        <w:outlineLvl w:val="0"/>
        <w:rPr>
          <w:rFonts w:ascii="TimesNewRoman" w:eastAsia="黑体" w:hAnsi="TimesNewRoman" w:cs="TimesNewRoman"/>
          <w:color w:val="000000"/>
          <w:szCs w:val="32"/>
        </w:rPr>
      </w:pPr>
      <w:r>
        <w:rPr>
          <w:rFonts w:ascii="TimesNewRoman" w:eastAsia="黑体" w:hAnsi="TimesNewRoman" w:cs="TimesNewRoman"/>
          <w:color w:val="000000"/>
          <w:szCs w:val="32"/>
        </w:rPr>
        <w:t>一、</w:t>
      </w:r>
      <w:r>
        <w:rPr>
          <w:rFonts w:ascii="TimesNewRoman" w:eastAsia="黑体" w:hAnsi="TimesNewRoman" w:cs="TimesNewRoman"/>
          <w:color w:val="000000"/>
          <w:szCs w:val="32"/>
        </w:rPr>
        <w:t>2024</w:t>
      </w:r>
      <w:r>
        <w:rPr>
          <w:rFonts w:ascii="TimesNewRoman" w:eastAsia="黑体" w:hAnsi="TimesNewRoman" w:cs="TimesNewRoman"/>
          <w:color w:val="000000"/>
          <w:szCs w:val="32"/>
        </w:rPr>
        <w:t>年一般公共预算</w:t>
      </w:r>
      <w:r>
        <w:rPr>
          <w:rFonts w:ascii="TimesNewRoman" w:eastAsia="黑体" w:hAnsi="TimesNewRoman" w:cs="TimesNewRoman"/>
          <w:color w:val="000000"/>
          <w:szCs w:val="32"/>
        </w:rPr>
        <w:t>“</w:t>
      </w:r>
      <w:r>
        <w:rPr>
          <w:rFonts w:ascii="TimesNewRoman" w:eastAsia="黑体" w:hAnsi="TimesNewRoman" w:cs="TimesNewRoman"/>
          <w:color w:val="000000"/>
          <w:szCs w:val="32"/>
        </w:rPr>
        <w:t>三公</w:t>
      </w:r>
      <w:r>
        <w:rPr>
          <w:rFonts w:ascii="TimesNewRoman" w:eastAsia="黑体" w:hAnsi="TimesNewRoman" w:cs="TimesNewRoman"/>
          <w:color w:val="000000"/>
          <w:szCs w:val="32"/>
        </w:rPr>
        <w:t>”</w:t>
      </w:r>
      <w:r>
        <w:rPr>
          <w:rFonts w:ascii="TimesNewRoman" w:eastAsia="黑体" w:hAnsi="TimesNewRoman" w:cs="TimesNewRoman"/>
          <w:color w:val="000000"/>
          <w:szCs w:val="32"/>
        </w:rPr>
        <w:t>经费支出预算表</w:t>
      </w:r>
    </w:p>
    <w:p w:rsidR="006E4CDA" w:rsidRDefault="00B924A0">
      <w:pPr>
        <w:adjustRightInd w:val="0"/>
        <w:snapToGrid w:val="0"/>
        <w:spacing w:line="560" w:lineRule="exact"/>
        <w:rPr>
          <w:rStyle w:val="a4"/>
          <w:rFonts w:ascii="TimesNewRoman" w:hAnsi="TimesNewRoman" w:cs="TimesNewRoman"/>
          <w:b w:val="0"/>
          <w:bCs w:val="0"/>
          <w:color w:val="000000"/>
          <w:szCs w:val="21"/>
        </w:rPr>
      </w:pPr>
      <w:r>
        <w:rPr>
          <w:rStyle w:val="a4"/>
          <w:rFonts w:ascii="TimesNewRoman" w:hAnsi="TimesNewRoman" w:cs="TimesNewRoman"/>
          <w:b w:val="0"/>
          <w:bCs w:val="0"/>
          <w:color w:val="000000"/>
          <w:szCs w:val="21"/>
        </w:rPr>
        <w:t xml:space="preserve">   </w:t>
      </w:r>
    </w:p>
    <w:p w:rsidR="006E4CDA" w:rsidRDefault="00B924A0" w:rsidP="006E4CDA">
      <w:pPr>
        <w:wordWrap w:val="0"/>
        <w:adjustRightInd w:val="0"/>
        <w:snapToGrid w:val="0"/>
        <w:spacing w:line="560" w:lineRule="exact"/>
        <w:ind w:firstLineChars="196" w:firstLine="658"/>
        <w:jc w:val="right"/>
        <w:rPr>
          <w:rStyle w:val="a4"/>
          <w:rFonts w:ascii="TimesNewRoman" w:hAnsi="TimesNewRoman" w:cs="TimesNewRoman"/>
          <w:b w:val="0"/>
          <w:bCs w:val="0"/>
          <w:color w:val="000000"/>
          <w:sz w:val="28"/>
          <w:szCs w:val="28"/>
        </w:rPr>
      </w:pPr>
      <w:r>
        <w:rPr>
          <w:rStyle w:val="a4"/>
          <w:rFonts w:ascii="TimesNewRoman" w:hAnsi="TimesNewRoman" w:cs="TimesNewRoman"/>
          <w:b w:val="0"/>
          <w:bCs w:val="0"/>
          <w:color w:val="000000"/>
          <w:szCs w:val="21"/>
        </w:rPr>
        <w:t xml:space="preserve">      </w:t>
      </w:r>
      <w:r>
        <w:rPr>
          <w:rStyle w:val="a4"/>
          <w:rFonts w:ascii="TimesNewRoman" w:hAnsi="TimesNewRoman" w:cs="TimesNewRoman"/>
          <w:b w:val="0"/>
          <w:bCs w:val="0"/>
          <w:color w:val="000000"/>
          <w:sz w:val="28"/>
          <w:szCs w:val="28"/>
        </w:rPr>
        <w:t>单位：万元</w:t>
      </w:r>
    </w:p>
    <w:tbl>
      <w:tblPr>
        <w:tblW w:w="8925" w:type="dxa"/>
        <w:tblInd w:w="-34" w:type="dxa"/>
        <w:tblLayout w:type="fixed"/>
        <w:tblLook w:val="04A0"/>
      </w:tblPr>
      <w:tblGrid>
        <w:gridCol w:w="1349"/>
        <w:gridCol w:w="1850"/>
        <w:gridCol w:w="1080"/>
        <w:gridCol w:w="1730"/>
        <w:gridCol w:w="1810"/>
        <w:gridCol w:w="1106"/>
      </w:tblGrid>
      <w:tr w:rsidR="006E4CDA">
        <w:trPr>
          <w:trHeight w:val="532"/>
        </w:trPr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“</w:t>
            </w: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三公</w:t>
            </w: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”</w:t>
            </w: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经费合计</w:t>
            </w:r>
          </w:p>
        </w:tc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因公出国（境）费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公务用车购置及运行费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公务</w:t>
            </w:r>
          </w:p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接待费</w:t>
            </w:r>
          </w:p>
        </w:tc>
      </w:tr>
      <w:tr w:rsidR="006E4CDA">
        <w:trPr>
          <w:trHeight w:val="518"/>
        </w:trPr>
        <w:tc>
          <w:tcPr>
            <w:tcW w:w="1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CDA" w:rsidRDefault="006E4CDA"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CDA" w:rsidRDefault="006E4CDA"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小计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公务用车购置费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  <w:t>公务用车运行费</w:t>
            </w: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CDA" w:rsidRDefault="006E4CDA"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b/>
                <w:bCs/>
                <w:color w:val="000000"/>
                <w:kern w:val="0"/>
                <w:sz w:val="20"/>
              </w:rPr>
            </w:pPr>
          </w:p>
        </w:tc>
      </w:tr>
      <w:tr w:rsidR="006E4CDA">
        <w:trPr>
          <w:trHeight w:val="560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 w:rsidP="006E4CDA">
            <w:pPr>
              <w:widowControl/>
              <w:spacing w:line="560" w:lineRule="exact"/>
              <w:ind w:firstLineChars="150" w:firstLine="346"/>
              <w:jc w:val="left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left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jc w:val="center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 w:rsidP="006E4CDA">
            <w:pPr>
              <w:widowControl/>
              <w:spacing w:line="560" w:lineRule="exact"/>
              <w:ind w:firstLineChars="50" w:firstLine="115"/>
              <w:jc w:val="left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 w:rsidP="006E4CDA">
            <w:pPr>
              <w:widowControl/>
              <w:spacing w:line="560" w:lineRule="exact"/>
              <w:ind w:firstLineChars="50" w:firstLine="115"/>
              <w:jc w:val="left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4CDA" w:rsidRDefault="00B924A0">
            <w:pPr>
              <w:widowControl/>
              <w:spacing w:line="560" w:lineRule="exact"/>
              <w:rPr>
                <w:rFonts w:ascii="TimesNewRoman" w:hAnsi="TimesNewRoman" w:cs="TimesNew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NewRoman" w:hAnsi="TimesNewRoman" w:cs="TimesNew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</w:tr>
    </w:tbl>
    <w:p w:rsidR="006E4CDA" w:rsidRDefault="006E4CDA">
      <w:pPr>
        <w:spacing w:line="560" w:lineRule="exact"/>
        <w:outlineLvl w:val="0"/>
        <w:rPr>
          <w:rFonts w:ascii="TimesNewRoman" w:eastAsia="黑体" w:hAnsi="TimesNewRoman" w:cs="TimesNewRoman"/>
          <w:color w:val="000000"/>
          <w:szCs w:val="32"/>
        </w:rPr>
      </w:pPr>
    </w:p>
    <w:p w:rsidR="006E4CDA" w:rsidRDefault="00B924A0">
      <w:pPr>
        <w:spacing w:line="560" w:lineRule="exact"/>
        <w:ind w:firstLineChars="200" w:firstLine="640"/>
        <w:outlineLvl w:val="0"/>
        <w:rPr>
          <w:rFonts w:ascii="TimesNewRoman" w:eastAsia="黑体" w:hAnsi="TimesNewRoman" w:cs="TimesNewRoman"/>
          <w:color w:val="000000"/>
          <w:spacing w:val="-6"/>
          <w:szCs w:val="32"/>
        </w:rPr>
      </w:pPr>
      <w:r>
        <w:rPr>
          <w:rFonts w:ascii="TimesNewRoman" w:eastAsia="黑体" w:hAnsi="TimesNewRoman" w:cs="TimesNewRoman"/>
          <w:color w:val="000000"/>
          <w:szCs w:val="32"/>
        </w:rPr>
        <w:t>二、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2024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年一般公共预算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“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三公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”</w:t>
      </w:r>
      <w:r>
        <w:rPr>
          <w:rFonts w:ascii="TimesNewRoman" w:eastAsia="黑体" w:hAnsi="TimesNewRoman" w:cs="TimesNewRoman"/>
          <w:color w:val="000000"/>
          <w:spacing w:val="-6"/>
          <w:szCs w:val="32"/>
        </w:rPr>
        <w:t>经费支出预算情况说明</w:t>
      </w:r>
    </w:p>
    <w:p w:rsidR="006E4CDA" w:rsidRDefault="00B924A0" w:rsidP="006E4CDA">
      <w:pPr>
        <w:adjustRightInd w:val="0"/>
        <w:snapToGrid w:val="0"/>
        <w:spacing w:line="560" w:lineRule="exact"/>
        <w:ind w:firstLineChars="200" w:firstLine="672"/>
        <w:rPr>
          <w:rFonts w:ascii="TimesNewRoman" w:hAnsi="TimesNewRoman" w:cs="TimesNewRoman"/>
          <w:color w:val="000000"/>
          <w:szCs w:val="32"/>
        </w:rPr>
      </w:pPr>
      <w:r>
        <w:rPr>
          <w:rFonts w:ascii="TimesNewRoman" w:hAnsi="TimesNewRoman" w:cs="TimesNewRoman" w:hint="eastAsia"/>
          <w:color w:val="000000"/>
          <w:szCs w:val="32"/>
        </w:rPr>
        <w:t>淮南第</w:t>
      </w:r>
      <w:r w:rsidR="00FD06A0">
        <w:rPr>
          <w:rFonts w:ascii="宋体" w:eastAsia="宋体" w:hAnsi="宋体" w:cs="宋体" w:hint="eastAsia"/>
          <w:color w:val="000000"/>
          <w:szCs w:val="32"/>
        </w:rPr>
        <w:t>四</w:t>
      </w:r>
      <w:r>
        <w:rPr>
          <w:rFonts w:ascii="TimesNewRoman" w:hAnsi="TimesNewRoman" w:cs="TimesNewRoman" w:hint="eastAsia"/>
          <w:color w:val="000000"/>
          <w:szCs w:val="32"/>
        </w:rPr>
        <w:t>中学</w:t>
      </w:r>
      <w:r>
        <w:rPr>
          <w:rFonts w:ascii="TimesNewRoman" w:hAnsi="TimesNewRoman" w:cs="TimesNewRoman"/>
          <w:color w:val="000000"/>
          <w:szCs w:val="32"/>
        </w:rPr>
        <w:t>2024</w:t>
      </w:r>
      <w:r>
        <w:rPr>
          <w:rFonts w:ascii="TimesNewRoman" w:hAnsi="TimesNewRoman" w:cs="TimesNewRoman"/>
          <w:color w:val="000000"/>
          <w:szCs w:val="32"/>
        </w:rPr>
        <w:t>年一般公共预算</w:t>
      </w:r>
      <w:r>
        <w:rPr>
          <w:rFonts w:ascii="TimesNewRoman" w:hAnsi="TimesNewRoman" w:cs="TimesNewRoman"/>
          <w:color w:val="000000"/>
          <w:szCs w:val="32"/>
        </w:rPr>
        <w:t>“</w:t>
      </w:r>
      <w:r>
        <w:rPr>
          <w:rFonts w:ascii="TimesNewRoman" w:hAnsi="TimesNewRoman" w:cs="TimesNewRoman"/>
          <w:color w:val="000000"/>
          <w:szCs w:val="32"/>
        </w:rPr>
        <w:t>三公</w:t>
      </w:r>
      <w:r>
        <w:rPr>
          <w:rFonts w:ascii="TimesNewRoman" w:hAnsi="TimesNewRoman" w:cs="TimesNewRoman"/>
          <w:color w:val="000000"/>
          <w:szCs w:val="32"/>
        </w:rPr>
        <w:t>”</w:t>
      </w:r>
      <w:r>
        <w:rPr>
          <w:rFonts w:ascii="TimesNewRoman" w:hAnsi="TimesNewRoman" w:cs="TimesNewRoman"/>
          <w:color w:val="000000"/>
          <w:szCs w:val="32"/>
        </w:rPr>
        <w:t>经费支出预算为</w:t>
      </w:r>
      <w:r>
        <w:rPr>
          <w:rFonts w:ascii="TimesNewRoman" w:hAnsi="TimesNewRoman" w:cs="TimesNewRoman" w:hint="eastAsia"/>
          <w:color w:val="000000"/>
          <w:szCs w:val="32"/>
        </w:rPr>
        <w:t>0</w:t>
      </w:r>
      <w:r>
        <w:rPr>
          <w:rFonts w:ascii="TimesNewRoman" w:hAnsi="TimesNewRoman" w:cs="TimesNewRoman"/>
          <w:color w:val="000000"/>
          <w:szCs w:val="32"/>
        </w:rPr>
        <w:t>万元，</w:t>
      </w:r>
      <w:bookmarkStart w:id="0" w:name="_GoBack"/>
      <w:bookmarkEnd w:id="0"/>
      <w:r>
        <w:rPr>
          <w:rFonts w:ascii="TimesNewRoman" w:hAnsi="TimesNewRoman" w:cs="TimesNewRoman" w:hint="eastAsia"/>
          <w:color w:val="000000"/>
          <w:szCs w:val="32"/>
        </w:rPr>
        <w:t>与</w:t>
      </w:r>
      <w:r>
        <w:rPr>
          <w:rFonts w:ascii="TimesNewRoman" w:hAnsi="TimesNewRoman" w:cs="TimesNewRoman" w:hint="eastAsia"/>
          <w:color w:val="000000"/>
          <w:szCs w:val="32"/>
        </w:rPr>
        <w:t>2023</w:t>
      </w:r>
      <w:r>
        <w:rPr>
          <w:rFonts w:ascii="TimesNewRoman" w:hAnsi="TimesNewRoman" w:cs="TimesNewRoman"/>
          <w:color w:val="000000"/>
          <w:szCs w:val="32"/>
        </w:rPr>
        <w:t>年预算</w:t>
      </w:r>
      <w:r>
        <w:rPr>
          <w:rFonts w:ascii="TimesNewRoman" w:hAnsi="TimesNewRoman" w:cs="TimesNewRoman" w:hint="eastAsia"/>
          <w:color w:val="000000"/>
          <w:szCs w:val="32"/>
        </w:rPr>
        <w:t>持平</w:t>
      </w:r>
      <w:r>
        <w:rPr>
          <w:rFonts w:ascii="TimesNewRoman" w:hAnsi="TimesNewRoman" w:cs="TimesNewRoman"/>
          <w:color w:val="000000"/>
          <w:szCs w:val="32"/>
        </w:rPr>
        <w:t>。</w:t>
      </w:r>
      <w:r w:rsidR="00DB4102">
        <w:rPr>
          <w:rFonts w:ascii="TimesNewRoman" w:hAnsi="TimesNewRoman" w:cs="TimesNewRoman" w:hint="eastAsia"/>
          <w:color w:val="000000"/>
          <w:szCs w:val="32"/>
        </w:rPr>
        <w:t>持平</w:t>
      </w:r>
      <w:r w:rsidR="00DB4102">
        <w:rPr>
          <w:rFonts w:ascii="TimesNewRoman" w:hAnsi="TimesNewRoman" w:cs="TimesNewRoman"/>
          <w:color w:val="000000"/>
          <w:szCs w:val="32"/>
        </w:rPr>
        <w:t>原因是</w:t>
      </w:r>
      <w:r>
        <w:rPr>
          <w:rFonts w:ascii="宋体" w:eastAsia="宋体" w:hAnsi="宋体" w:cs="宋体"/>
          <w:color w:val="000000"/>
          <w:szCs w:val="32"/>
        </w:rPr>
        <w:t>：</w:t>
      </w:r>
      <w:r>
        <w:rPr>
          <w:rFonts w:ascii="TimesNewRoman" w:hAnsi="TimesNewRoman" w:cs="TimesNewRoman" w:hint="eastAsia"/>
          <w:color w:val="000000"/>
          <w:szCs w:val="32"/>
        </w:rPr>
        <w:t>该项经费本年未安排，</w:t>
      </w:r>
      <w:r>
        <w:rPr>
          <w:rFonts w:ascii="TimesNewRoman" w:hAnsi="TimesNewRoman" w:cs="TimesNewRoman" w:hint="eastAsia"/>
          <w:color w:val="000000"/>
          <w:szCs w:val="32"/>
        </w:rPr>
        <w:t>2023</w:t>
      </w:r>
      <w:r>
        <w:rPr>
          <w:rFonts w:ascii="TimesNewRoman" w:hAnsi="TimesNewRoman" w:cs="TimesNewRoman" w:hint="eastAsia"/>
          <w:color w:val="000000"/>
          <w:szCs w:val="32"/>
        </w:rPr>
        <w:t>年未安排。</w:t>
      </w:r>
      <w:r>
        <w:rPr>
          <w:rFonts w:ascii="TimesNewRoman" w:hAnsi="TimesNewRoman" w:cs="TimesNewRoman"/>
          <w:color w:val="000000"/>
          <w:szCs w:val="32"/>
        </w:rPr>
        <w:t>其中：因公出国（境）费支出预算为</w:t>
      </w:r>
      <w:r>
        <w:rPr>
          <w:rFonts w:ascii="TimesNewRoman" w:hAnsi="TimesNewRoman" w:cs="TimesNewRoman" w:hint="eastAsia"/>
          <w:color w:val="000000"/>
          <w:szCs w:val="32"/>
        </w:rPr>
        <w:t>0</w:t>
      </w:r>
      <w:r>
        <w:rPr>
          <w:rFonts w:ascii="TimesNewRoman" w:hAnsi="TimesNewRoman" w:cs="TimesNewRoman"/>
          <w:color w:val="000000"/>
          <w:szCs w:val="32"/>
        </w:rPr>
        <w:t>万元，公务接待费支出预算为</w:t>
      </w:r>
      <w:r>
        <w:rPr>
          <w:rFonts w:ascii="TimesNewRoman" w:hAnsi="TimesNewRoman" w:cs="TimesNewRoman" w:hint="eastAsia"/>
          <w:color w:val="000000"/>
          <w:szCs w:val="32"/>
        </w:rPr>
        <w:t>0</w:t>
      </w:r>
      <w:r>
        <w:rPr>
          <w:rFonts w:ascii="TimesNewRoman" w:hAnsi="TimesNewRoman" w:cs="TimesNewRoman"/>
          <w:color w:val="000000"/>
          <w:szCs w:val="32"/>
        </w:rPr>
        <w:t>万元，公务用车购置及运行费支出预算为</w:t>
      </w:r>
      <w:r>
        <w:rPr>
          <w:rFonts w:ascii="TimesNewRoman" w:hAnsi="TimesNewRoman" w:cs="TimesNewRoman" w:hint="eastAsia"/>
          <w:color w:val="000000"/>
          <w:szCs w:val="32"/>
        </w:rPr>
        <w:t>0</w:t>
      </w:r>
      <w:r>
        <w:rPr>
          <w:rFonts w:ascii="TimesNewRoman" w:hAnsi="TimesNewRoman" w:cs="TimesNewRoman"/>
          <w:color w:val="000000"/>
          <w:szCs w:val="32"/>
        </w:rPr>
        <w:t>万元。具体情况如下：</w:t>
      </w:r>
    </w:p>
    <w:p w:rsidR="006E4CDA" w:rsidRDefault="00B924A0" w:rsidP="006E4CDA">
      <w:pPr>
        <w:pStyle w:val="a3"/>
        <w:adjustRightInd w:val="0"/>
        <w:snapToGrid w:val="0"/>
        <w:spacing w:line="560" w:lineRule="exact"/>
        <w:ind w:firstLineChars="200" w:firstLine="672"/>
        <w:rPr>
          <w:rFonts w:ascii="TimesNewRoman" w:eastAsia="仿宋_GB2312" w:hAnsi="TimesNewRoman" w:cs="TimesNewRoman"/>
          <w:color w:val="000000"/>
          <w:sz w:val="32"/>
          <w:szCs w:val="32"/>
        </w:rPr>
      </w:pPr>
      <w:r>
        <w:rPr>
          <w:rFonts w:ascii="TimesNewRoman" w:eastAsia="仿宋_GB2312" w:hAnsi="TimesNewRoman" w:cs="TimesNewRoman"/>
          <w:b/>
          <w:color w:val="000000"/>
          <w:sz w:val="32"/>
          <w:szCs w:val="32"/>
        </w:rPr>
        <w:t>（一）因公出国（境）费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支出预算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0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万元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,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与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年预算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持平，</w:t>
      </w:r>
      <w:r w:rsidR="00DB4102"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</w:t>
      </w:r>
      <w:r w:rsidR="00DB4102">
        <w:rPr>
          <w:rFonts w:ascii="TimesNewRoman" w:eastAsia="仿宋_GB2312" w:hAnsi="TimesNewRoman" w:cs="TimesNewRoman"/>
          <w:color w:val="000000"/>
          <w:sz w:val="32"/>
          <w:szCs w:val="32"/>
        </w:rPr>
        <w:t>原因是</w:t>
      </w:r>
      <w:r>
        <w:rPr>
          <w:rFonts w:ascii="宋体" w:hAnsi="宋体" w:cs="宋体" w:hint="eastAsia"/>
          <w:color w:val="000000"/>
          <w:sz w:val="32"/>
          <w:szCs w:val="32"/>
        </w:rPr>
        <w:t>：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该项经费本年未安排，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年未安排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  <w:r w:rsidR="002C6E7F"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经费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使用严格执行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《淮南市市直党政机关因公临时出国经费管理办法》（淮财行政〔2014〕65号）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相关规定。</w:t>
      </w:r>
    </w:p>
    <w:p w:rsidR="006E4CDA" w:rsidRDefault="00B924A0" w:rsidP="006E4CDA">
      <w:pPr>
        <w:pStyle w:val="a3"/>
        <w:adjustRightInd w:val="0"/>
        <w:snapToGrid w:val="0"/>
        <w:spacing w:line="560" w:lineRule="exact"/>
        <w:ind w:firstLineChars="200" w:firstLine="672"/>
        <w:rPr>
          <w:rFonts w:ascii="TimesNewRoman" w:eastAsia="仿宋_GB2312" w:hAnsi="TimesNewRoman" w:cs="TimesNewRoman"/>
          <w:color w:val="000000"/>
          <w:sz w:val="32"/>
          <w:szCs w:val="32"/>
        </w:rPr>
      </w:pPr>
      <w:r>
        <w:rPr>
          <w:rFonts w:ascii="TimesNewRoman" w:eastAsia="仿宋_GB2312" w:hAnsi="TimesNewRoman" w:cs="TimesNewRoman"/>
          <w:b/>
          <w:color w:val="000000"/>
          <w:sz w:val="32"/>
          <w:szCs w:val="32"/>
        </w:rPr>
        <w:t>（二）公务用车购置及运行费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支出预算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0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万元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，与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年预算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，</w:t>
      </w:r>
      <w:r w:rsidR="00DB4102"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</w:t>
      </w:r>
      <w:r w:rsidR="00DB4102">
        <w:rPr>
          <w:rFonts w:ascii="TimesNewRoman" w:eastAsia="仿宋_GB2312" w:hAnsi="TimesNewRoman" w:cs="TimesNewRoman"/>
          <w:color w:val="000000"/>
          <w:sz w:val="32"/>
          <w:szCs w:val="32"/>
        </w:rPr>
        <w:t>原因是</w:t>
      </w:r>
      <w:r>
        <w:rPr>
          <w:rFonts w:ascii="宋体" w:hAnsi="宋体" w:cs="宋体" w:hint="eastAsia"/>
          <w:color w:val="000000"/>
          <w:sz w:val="32"/>
          <w:szCs w:val="32"/>
        </w:rPr>
        <w:t>：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该项经费本年未安排，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年未安排。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该项经费主要用于：公务用车购置费</w:t>
      </w:r>
      <w:r>
        <w:rPr>
          <w:rFonts w:ascii="宋体" w:hAnsi="宋体" w:cs="宋体"/>
          <w:color w:val="000000"/>
          <w:sz w:val="32"/>
          <w:szCs w:val="32"/>
        </w:rPr>
        <w:t>及</w:t>
      </w:r>
      <w:r>
        <w:rPr>
          <w:rFonts w:ascii="宋体" w:hAnsi="宋体" w:cs="宋体"/>
          <w:color w:val="000000"/>
          <w:sz w:val="32"/>
          <w:szCs w:val="32"/>
        </w:rPr>
        <w:lastRenderedPageBreak/>
        <w:t>运行维护费用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。</w:t>
      </w:r>
    </w:p>
    <w:p w:rsidR="006E4CDA" w:rsidRDefault="00B924A0" w:rsidP="006E4CDA">
      <w:pPr>
        <w:pStyle w:val="a3"/>
        <w:adjustRightInd w:val="0"/>
        <w:snapToGrid w:val="0"/>
        <w:spacing w:line="560" w:lineRule="exact"/>
        <w:ind w:firstLineChars="200" w:firstLine="672"/>
        <w:rPr>
          <w:rFonts w:ascii="TimesNewRoman" w:eastAsia="仿宋_GB2312" w:hAnsi="TimesNewRoman" w:cs="TimesNewRoman"/>
          <w:color w:val="000000"/>
          <w:sz w:val="32"/>
          <w:szCs w:val="32"/>
        </w:rPr>
      </w:pPr>
      <w:r>
        <w:rPr>
          <w:rFonts w:ascii="TimesNewRoman" w:eastAsia="仿宋_GB2312" w:hAnsi="TimesNewRoman" w:cs="TimesNewRoman"/>
          <w:b/>
          <w:color w:val="000000"/>
          <w:sz w:val="32"/>
          <w:szCs w:val="32"/>
        </w:rPr>
        <w:t>（三）公务接待费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支出预算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0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万元，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与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年预算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。</w:t>
      </w:r>
      <w:r w:rsidR="00DB4102"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持平</w:t>
      </w:r>
      <w:r w:rsidR="00DB4102">
        <w:rPr>
          <w:rFonts w:ascii="TimesNewRoman" w:eastAsia="仿宋_GB2312" w:hAnsi="TimesNewRoman" w:cs="TimesNewRoman"/>
          <w:color w:val="000000"/>
          <w:sz w:val="32"/>
          <w:szCs w:val="32"/>
        </w:rPr>
        <w:t>原因是</w:t>
      </w:r>
      <w:r>
        <w:rPr>
          <w:rFonts w:ascii="宋体" w:hAnsi="宋体" w:cs="宋体" w:hint="eastAsia"/>
          <w:color w:val="000000"/>
          <w:sz w:val="32"/>
          <w:szCs w:val="32"/>
        </w:rPr>
        <w:t>：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该项经费本年未安排，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2023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年未安排。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经费使用严格执行《党政机关厉行节约反对浪费条例》</w:t>
      </w:r>
      <w:r>
        <w:rPr>
          <w:rFonts w:ascii="仿宋" w:eastAsia="仿宋" w:hAnsi="仿宋" w:hint="eastAsia"/>
          <w:color w:val="000000"/>
          <w:sz w:val="32"/>
          <w:szCs w:val="32"/>
        </w:rPr>
        <w:t>（中发〔2013〕13号）</w:t>
      </w:r>
      <w:r>
        <w:rPr>
          <w:rFonts w:ascii="TimesNewRoman" w:eastAsia="仿宋_GB2312" w:hAnsi="TimesNewRoman" w:cs="TimesNewRoman" w:hint="eastAsia"/>
          <w:color w:val="000000"/>
          <w:sz w:val="32"/>
          <w:szCs w:val="32"/>
        </w:rPr>
        <w:t>和</w:t>
      </w:r>
      <w:r w:rsidRPr="002C6E7F">
        <w:rPr>
          <w:rFonts w:ascii="仿宋" w:eastAsia="仿宋" w:hAnsi="仿宋" w:hint="eastAsia"/>
          <w:b/>
          <w:color w:val="000000"/>
          <w:sz w:val="32"/>
          <w:szCs w:val="32"/>
        </w:rPr>
        <w:t>《淮南市党政机关国内公务接待管理办法》（淮办发〔2014〕26号）</w:t>
      </w:r>
      <w:r>
        <w:rPr>
          <w:rFonts w:ascii="TimesNewRoman" w:eastAsia="仿宋_GB2312" w:hAnsi="TimesNewRoman" w:cs="TimesNewRoman"/>
          <w:color w:val="000000"/>
          <w:sz w:val="32"/>
          <w:szCs w:val="32"/>
        </w:rPr>
        <w:t>等相关规定。</w:t>
      </w:r>
    </w:p>
    <w:p w:rsidR="006E4CDA" w:rsidRDefault="006E4CDA"/>
    <w:sectPr w:rsidR="006E4CDA" w:rsidSect="006E4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E7F" w:rsidRDefault="002C6E7F" w:rsidP="002C6E7F">
      <w:r>
        <w:separator/>
      </w:r>
    </w:p>
  </w:endnote>
  <w:endnote w:type="continuationSeparator" w:id="0">
    <w:p w:rsidR="002C6E7F" w:rsidRDefault="002C6E7F" w:rsidP="002C6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charset w:val="86"/>
    <w:family w:val="modern"/>
    <w:pitch w:val="default"/>
    <w:sig w:usb0="00000000" w:usb1="080E0000" w:usb2="00000000" w:usb3="00000000" w:csb0="00040000" w:csb1="00000000"/>
  </w:font>
  <w:font w:name="TimesNewRoman">
    <w:altName w:val="Arial"/>
    <w:charset w:val="00"/>
    <w:family w:val="auto"/>
    <w:pitch w:val="default"/>
    <w:sig w:usb0="00000000" w:usb1="00000000" w:usb2="00000029" w:usb3="00000000" w:csb0="600001FF" w:csb1="FFFF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E7F" w:rsidRDefault="002C6E7F" w:rsidP="002C6E7F">
      <w:r>
        <w:separator/>
      </w:r>
    </w:p>
  </w:footnote>
  <w:footnote w:type="continuationSeparator" w:id="0">
    <w:p w:rsidR="002C6E7F" w:rsidRDefault="002C6E7F" w:rsidP="002C6E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UwMTU1ZDc5ZTIzNzZlY2Y0ZTVjZTc0MDllZjg2ZmIifQ=="/>
  </w:docVars>
  <w:rsids>
    <w:rsidRoot w:val="19F76154"/>
    <w:rsid w:val="00072DAF"/>
    <w:rsid w:val="002C6E7F"/>
    <w:rsid w:val="006E4CDA"/>
    <w:rsid w:val="008E22B6"/>
    <w:rsid w:val="00B924A0"/>
    <w:rsid w:val="00DB4102"/>
    <w:rsid w:val="00FD06A0"/>
    <w:rsid w:val="0BC051FE"/>
    <w:rsid w:val="0E29650B"/>
    <w:rsid w:val="19F76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6E4CDA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E4CDA"/>
    <w:rPr>
      <w:rFonts w:eastAsia="宋体"/>
      <w:sz w:val="24"/>
      <w:szCs w:val="24"/>
    </w:rPr>
  </w:style>
  <w:style w:type="character" w:styleId="a4">
    <w:name w:val="Strong"/>
    <w:basedOn w:val="a0"/>
    <w:qFormat/>
    <w:rsid w:val="006E4CDA"/>
    <w:rPr>
      <w:b/>
      <w:bCs/>
    </w:rPr>
  </w:style>
  <w:style w:type="paragraph" w:styleId="a5">
    <w:name w:val="header"/>
    <w:basedOn w:val="a"/>
    <w:link w:val="Char"/>
    <w:rsid w:val="002C6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C6E7F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2C6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C6E7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530</Words>
  <Characters>90</Characters>
  <Application>Microsoft Office Word</Application>
  <DocSecurity>0</DocSecurity>
  <Lines>1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 白日梦 </dc:creator>
  <cp:lastModifiedBy>Administrator</cp:lastModifiedBy>
  <cp:revision>5</cp:revision>
  <dcterms:created xsi:type="dcterms:W3CDTF">2024-02-08T00:50:00Z</dcterms:created>
  <dcterms:modified xsi:type="dcterms:W3CDTF">2024-02-25T11:54:00Z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C8001F193CB4414D9B316AA2865FCEF7_11</vt:lpwstr>
  </property>
</Properties>
</file>